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rFonts w:ascii="Arial" w:hAnsi="Arial"/>
          <w:sz w:val="20"/>
        </w:rPr>
        <w:t>CRA Rapid Reporter</w:t>
      </w:r>
    </w:p>
    <w:p>
      <w:r>
        <w:rPr>
          <w:rFonts w:ascii="Arial" w:hAnsi="Arial"/>
          <w:sz w:val="20"/>
        </w:rPr>
        <w:t>Reporting Preparation &amp; Evidence Pack</w:t>
      </w:r>
    </w:p>
    <w:p>
      <w:pPr>
        <w:jc w:val="center"/>
      </w:pPr>
      <w:r>
        <w:rPr>
          <w:rFonts w:ascii="Arial" w:hAnsi="Arial"/>
          <w:sz w:val="20"/>
        </w:rPr>
        <w:t>DEMONSTRATION OUTPUT — NOT FOR SUBMISSION</w:t>
      </w:r>
    </w:p>
    <w:p>
      <w:pPr>
        <w:pStyle w:val="Heading1"/>
      </w:pPr>
      <w:r>
        <w:rPr>
          <w:rFonts w:ascii="Arial" w:hAnsi="Arial"/>
          <w:sz w:val="20"/>
        </w:rPr>
        <w:t>Actively exploited vulnerability in AcmeVision Smart Camera</w:t>
      </w:r>
    </w:p>
    <w:p>
      <w:r>
        <w:rPr>
          <w:rFonts w:ascii="Arial" w:hAnsi="Arial"/>
          <w:sz w:val="20"/>
        </w:rPr>
        <w:t>Case ID: DEMO-SMART-CAMERA-2026</w:t>
      </w:r>
    </w:p>
    <w:p>
      <w:r>
        <w:rPr>
          <w:rFonts w:ascii="Arial" w:hAnsi="Arial"/>
          <w:sz w:val="20"/>
        </w:rPr>
        <w:t>Report type: vulnerability</w:t>
      </w:r>
    </w:p>
    <w:p>
      <w:r>
        <w:rPr>
          <w:rFonts w:ascii="Arial" w:hAnsi="Arial"/>
          <w:sz w:val="20"/>
        </w:rPr>
        <w:t>Status: review</w:t>
      </w:r>
    </w:p>
    <w:p>
      <w:r>
        <w:rPr>
          <w:rFonts w:ascii="Arial" w:hAnsi="Arial"/>
          <w:sz w:val="20"/>
        </w:rPr>
        <w:t>Completeness: 100%</w:t>
      </w:r>
    </w:p>
    <w:p>
      <w:pPr>
        <w:pStyle w:val="Heading2"/>
      </w:pPr>
      <w:r>
        <w:rPr>
          <w:rFonts w:ascii="Arial" w:hAnsi="Arial"/>
          <w:sz w:val="20"/>
        </w:rPr>
        <w:t>Manufacturer and product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</w:rPr>
              <w:t>Manufacturer</w:t>
            </w:r>
          </w:p>
        </w:tc>
        <w:tc>
          <w:tcPr>
            <w:tcW w:type="dxa" w:w="5112"/>
          </w:tcPr>
          <w:p>
            <w:r>
              <w:t>AcmeVision Devices Ltd. (fictional)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Manufacturer country</w:t>
            </w:r>
          </w:p>
        </w:tc>
        <w:tc>
          <w:tcPr>
            <w:tcW w:type="dxa" w:w="5112"/>
          </w:tcPr>
          <w:p>
            <w:r>
              <w:t>Singapore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EU main establishment / coordinator country</w:t>
            </w:r>
          </w:p>
        </w:tc>
        <w:tc>
          <w:tcPr>
            <w:tcW w:type="dxa" w:w="5112"/>
          </w:tcPr>
          <w:p>
            <w:r>
              <w:t>Germany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Reporting contact</w:t>
            </w:r>
          </w:p>
        </w:tc>
        <w:tc>
          <w:tcPr>
            <w:tcW w:type="dxa" w:w="5112"/>
          </w:tcPr>
          <w:p>
            <w:r>
              <w:t>Maya Chen psirt@example.invalid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Product</w:t>
            </w:r>
          </w:p>
        </w:tc>
        <w:tc>
          <w:tcPr>
            <w:tcW w:type="dxa" w:w="5112"/>
          </w:tcPr>
          <w:p>
            <w:r>
              <w:t>AcmeVision HomeCam X2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Model / identifier</w:t>
            </w:r>
          </w:p>
        </w:tc>
        <w:tc>
          <w:tcPr>
            <w:tcW w:type="dxa" w:w="5112"/>
          </w:tcPr>
          <w:p>
            <w:r>
              <w:t>AV-HCX2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Product version</w:t>
            </w:r>
          </w:p>
        </w:tc>
        <w:tc>
          <w:tcPr>
            <w:tcW w:type="dxa" w:w="5112"/>
          </w:tcPr>
          <w:p>
            <w:r>
              <w:t>4.3.1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Affected versions</w:t>
            </w:r>
          </w:p>
        </w:tc>
        <w:tc>
          <w:tcPr>
            <w:tcW w:type="dxa" w:w="5112"/>
          </w:tcPr>
          <w:p>
            <w:r>
              <w:t>4.0.0–4.3.1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Known Member States</w:t>
            </w:r>
          </w:p>
        </w:tc>
        <w:tc>
          <w:tcPr>
            <w:tcW w:type="dxa" w:w="5112"/>
          </w:tcPr>
          <w:p>
            <w:r>
              <w:t>Germany, France, Netherlands, Spain</w:t>
            </w:r>
          </w:p>
        </w:tc>
      </w:tr>
    </w:tbl>
    <w:p>
      <w:pPr>
        <w:pStyle w:val="Heading2"/>
      </w:pPr>
      <w:r>
        <w:rPr>
          <w:rFonts w:ascii="Arial" w:hAnsi="Arial"/>
          <w:sz w:val="20"/>
        </w:rPr>
        <w:t>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</w:rPr>
              <w:t>Discovered</w:t>
            </w:r>
          </w:p>
        </w:tc>
        <w:tc>
          <w:tcPr>
            <w:tcW w:type="dxa" w:w="5112"/>
          </w:tcPr>
          <w:p>
            <w:r>
              <w:t>2026-07-10T06:30+00:00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Manufacturer awareness</w:t>
            </w:r>
          </w:p>
        </w:tc>
        <w:tc>
          <w:tcPr>
            <w:tcW w:type="dxa" w:w="5112"/>
          </w:tcPr>
          <w:p>
            <w:r>
              <w:t>2026-07-10T08:00+00:00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24-hour early warning due</w:t>
            </w:r>
          </w:p>
        </w:tc>
        <w:tc>
          <w:tcPr>
            <w:tcW w:type="dxa" w:w="5112"/>
          </w:tcPr>
          <w:p>
            <w:r>
              <w:t>2026-07-11T08:00Z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72-hour notification due</w:t>
            </w:r>
          </w:p>
        </w:tc>
        <w:tc>
          <w:tcPr>
            <w:tcW w:type="dxa" w:w="5112"/>
          </w:tcPr>
          <w:p>
            <w:r>
              <w:t>2026-07-13T08:00Z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Final report due</w:t>
            </w:r>
          </w:p>
        </w:tc>
        <w:tc>
          <w:tcPr>
            <w:tcW w:type="dxa" w:w="5112"/>
          </w:tcPr>
          <w:p>
            <w:r>
              <w:t>2026-07-25T04:00Z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Final report basis</w:t>
            </w:r>
          </w:p>
        </w:tc>
        <w:tc>
          <w:tcPr>
            <w:tcW w:type="dxa" w:w="5112"/>
          </w:tcPr>
          <w:p>
            <w:r>
              <w:t>14 days after a corrective or mitigating measure became available</w:t>
            </w:r>
          </w:p>
        </w:tc>
      </w:tr>
    </w:tbl>
    <w:p>
      <w:pPr>
        <w:pStyle w:val="Heading2"/>
      </w:pPr>
      <w:r>
        <w:rPr>
          <w:rFonts w:ascii="Arial" w:hAnsi="Arial"/>
          <w:sz w:val="20"/>
        </w:rPr>
        <w:t>Assessment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</w:rPr>
              <w:t>Summary</w:t>
            </w:r>
          </w:p>
        </w:tc>
        <w:tc>
          <w:tcPr>
            <w:tcW w:type="dxa" w:w="5112"/>
          </w:tcPr>
          <w:p>
            <w:r>
              <w:t>A command-injection vulnerability in the remote diagnostics endpoint is reported as actively exploited against internet-exposed devices.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Nature / exploit / incident</w:t>
            </w:r>
          </w:p>
        </w:tc>
        <w:tc>
          <w:tcPr>
            <w:tcW w:type="dxa" w:w="5112"/>
          </w:tcPr>
          <w:p>
            <w:r>
              <w:t>Unauthenticated crafted requests can reach a legacy diagnostics handler. Available telemetry indicates automated exploitation from multiple source networks.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Initial assessment</w:t>
            </w:r>
          </w:p>
        </w:tc>
        <w:tc>
          <w:tcPr>
            <w:tcW w:type="dxa" w:w="5112"/>
          </w:tcPr>
          <w:p>
            <w:r>
              <w:t>Exposure is limited to devices with remote diagnostics enabled and directly reachable from the public internet.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Severity</w:t>
            </w:r>
          </w:p>
        </w:tc>
        <w:tc>
          <w:tcPr>
            <w:tcW w:type="dxa" w:w="5112"/>
          </w:tcPr>
          <w:p>
            <w:r>
              <w:t>critical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Severity and impact</w:t>
            </w:r>
          </w:p>
        </w:tc>
        <w:tc>
          <w:tcPr>
            <w:tcW w:type="dxa" w:w="5112"/>
          </w:tcPr>
          <w:p>
            <w:r>
              <w:t>Successful exploitation may allow arbitrary command execution, unauthorised access to camera feeds and configuration changes.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Affected data or functions</w:t>
            </w:r>
          </w:p>
        </w:tc>
        <w:tc>
          <w:tcPr>
            <w:tcW w:type="dxa" w:w="5112"/>
          </w:tcPr>
          <w:p>
            <w:r>
              <w:t>Video stream confidentiality, device configuration integrity and service availability.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Suspected malicious acts</w:t>
            </w:r>
          </w:p>
        </w:tc>
        <w:tc>
          <w:tcPr>
            <w:tcW w:type="dxa" w:w="5112"/>
          </w:tcPr>
          <w:p>
            <w:r>
              <w:t>yes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Malicious actor information</w:t>
            </w:r>
          </w:p>
        </w:tc>
        <w:tc>
          <w:tcPr>
            <w:tcW w:type="dxa" w:w="5112"/>
          </w:tcPr>
          <w:p>
            <w:r>
              <w:t>No reliable attribution available. Activity appears opportunistic and automated.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Likely threat / root cause</w:t>
            </w:r>
          </w:p>
        </w:tc>
        <w:tc>
          <w:tcPr>
            <w:tcW w:type="dxa" w:w="5112"/>
          </w:tcPr>
          <w:p>
            <w:r>
              <w:t>Legacy diagnostics handler did not validate shell metacharacters before invoking a system utility.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Malicious code possible</w:t>
            </w:r>
          </w:p>
        </w:tc>
        <w:tc>
          <w:tcPr>
            <w:tcW w:type="dxa" w:w="5112"/>
          </w:tcPr>
          <w:p>
            <w:r>
              <w:t>Yes</w:t>
            </w:r>
          </w:p>
        </w:tc>
      </w:tr>
    </w:tbl>
    <w:p>
      <w:pPr>
        <w:pStyle w:val="Heading2"/>
      </w:pPr>
      <w:r>
        <w:rPr>
          <w:rFonts w:ascii="Arial" w:hAnsi="Arial"/>
          <w:sz w:val="20"/>
        </w:rPr>
        <w:t>Corrective and mitigating measures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</w:rPr>
              <w:t>Measures taken</w:t>
            </w:r>
          </w:p>
        </w:tc>
        <w:tc>
          <w:tcPr>
            <w:tcW w:type="dxa" w:w="5112"/>
          </w:tcPr>
          <w:p>
            <w:r>
              <w:t>Disabled cloud relay access to the diagnostics endpoint and deployed server-side blocking rules.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User measures</w:t>
            </w:r>
          </w:p>
        </w:tc>
        <w:tc>
          <w:tcPr>
            <w:tcW w:type="dxa" w:w="5112"/>
          </w:tcPr>
          <w:p>
            <w:r>
              <w:t>Disable remote diagnostics, restrict device network exposure and apply firmware 4.3.2 when available.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Security update / corrective measure</w:t>
            </w:r>
          </w:p>
        </w:tc>
        <w:tc>
          <w:tcPr>
            <w:tcW w:type="dxa" w:w="5112"/>
          </w:tcPr>
          <w:p>
            <w:r>
              <w:t>Firmware 4.3.2 removes the legacy handler and replaces the utility call with a parameter-safe implementation.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Applied and ongoing actions</w:t>
            </w:r>
          </w:p>
        </w:tc>
        <w:tc>
          <w:tcPr>
            <w:tcW w:type="dxa" w:w="5112"/>
          </w:tcPr>
          <w:p>
            <w:r>
              <w:t>Customer notification draft, affected fleet analysis and retrospective log review.</w:t>
            </w:r>
          </w:p>
        </w:tc>
      </w:tr>
    </w:tbl>
    <w:p>
      <w:pPr>
        <w:pStyle w:val="Heading2"/>
      </w:pPr>
      <w:r>
        <w:rPr>
          <w:rFonts w:ascii="Arial" w:hAnsi="Arial"/>
          <w:sz w:val="20"/>
        </w:rPr>
        <w:t>Review record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</w:rPr>
              <w:t>Reviewer</w:t>
            </w:r>
          </w:p>
        </w:tc>
        <w:tc>
          <w:tcPr>
            <w:tcW w:type="dxa" w:w="5112"/>
          </w:tcPr>
          <w:p>
            <w:r>
              <w:t>Alex Morgan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Role</w:t>
            </w:r>
          </w:p>
        </w:tc>
        <w:tc>
          <w:tcPr>
            <w:tcW w:type="dxa" w:w="5112"/>
          </w:tcPr>
          <w:p>
            <w:r>
              <w:t>Product Security Lead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Decision</w:t>
            </w:r>
          </w:p>
        </w:tc>
        <w:tc>
          <w:tcPr>
            <w:tcW w:type="dxa" w:w="5112"/>
          </w:tcPr>
          <w:p>
            <w:r>
              <w:t>review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Notes</w:t>
            </w:r>
          </w:p>
        </w:tc>
        <w:tc>
          <w:tcPr>
            <w:tcW w:type="dxa" w:w="5112"/>
          </w:tcPr>
          <w:p>
            <w:r>
              <w:t>Demonstration data only. Confirm affected Member States and corrective-measure availability time.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Approved at</w:t>
            </w:r>
          </w:p>
        </w:tc>
        <w:tc>
          <w:tcPr>
            <w:tcW w:type="dxa" w:w="5112"/>
          </w:tcPr>
          <w:p>
            <w:r>
              <w:t>Not provided</w:t>
            </w:r>
          </w:p>
        </w:tc>
      </w:tr>
    </w:tbl>
    <w:p>
      <w:pPr>
        <w:pStyle w:val="Heading2"/>
      </w:pPr>
      <w:r>
        <w:rPr>
          <w:rFonts w:ascii="Arial" w:hAnsi="Arial"/>
          <w:sz w:val="20"/>
        </w:rPr>
        <w:t>Evidence index</w:t>
      </w:r>
    </w:p>
    <w:p>
      <w:r>
        <w:rPr>
          <w:rFonts w:ascii="Arial" w:hAnsi="Arial"/>
          <w:sz w:val="20"/>
        </w:rPr>
        <w:t>No evidence files attached.</w:t>
      </w:r>
    </w:p>
    <w:p>
      <w:r>
        <w:rPr>
          <w:rFonts w:ascii="Arial" w:hAnsi="Arial"/>
          <w:sz w:val="20"/>
        </w:rPr>
        <w:t>Independent reporting-preparation output. Not an ENISA or European Commission service; not legal advice; not a compliance guarantee; and not proof that a legal notification was submitted.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